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5A" w:rsidRPr="000C4BCF" w:rsidRDefault="004B5F5A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p w:rsidR="004B5F5A" w:rsidRPr="000C4BCF" w:rsidRDefault="004B5F5A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p w:rsidR="004B5F5A" w:rsidRPr="000C4BCF" w:rsidRDefault="004B5F5A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p w:rsidR="007F65AB" w:rsidRDefault="007F65AB" w:rsidP="000C4BCF">
      <w:pPr>
        <w:jc w:val="center"/>
        <w:rPr>
          <w:rFonts w:ascii="方正小标宋简体" w:eastAsia="方正小标宋简体" w:hAnsi="宋体"/>
          <w:sz w:val="52"/>
          <w:szCs w:val="52"/>
        </w:rPr>
      </w:pPr>
      <w:r w:rsidRPr="007F65AB">
        <w:rPr>
          <w:rFonts w:ascii="方正小标宋简体" w:eastAsia="方正小标宋简体" w:hAnsi="宋体" w:hint="eastAsia"/>
          <w:sz w:val="52"/>
          <w:szCs w:val="52"/>
        </w:rPr>
        <w:t>莲花山旅游区申创国家5A级旅游景区</w:t>
      </w:r>
    </w:p>
    <w:p w:rsidR="004B5F5A" w:rsidRPr="007F65AB" w:rsidRDefault="007F65AB" w:rsidP="000C4BCF">
      <w:pPr>
        <w:jc w:val="center"/>
        <w:rPr>
          <w:rFonts w:ascii="方正小标宋简体" w:eastAsia="方正小标宋简体"/>
          <w:sz w:val="28"/>
          <w:szCs w:val="28"/>
        </w:rPr>
      </w:pPr>
      <w:r w:rsidRPr="007F65AB">
        <w:rPr>
          <w:rFonts w:ascii="方正小标宋简体" w:eastAsia="方正小标宋简体" w:hAnsi="宋体" w:hint="eastAsia"/>
          <w:sz w:val="52"/>
          <w:szCs w:val="52"/>
        </w:rPr>
        <w:t>专家研讨会</w:t>
      </w:r>
      <w:r w:rsidR="001C122B">
        <w:rPr>
          <w:rFonts w:ascii="方正小标宋简体" w:eastAsia="方正小标宋简体" w:hAnsi="宋体" w:hint="eastAsia"/>
          <w:sz w:val="52"/>
          <w:szCs w:val="52"/>
        </w:rPr>
        <w:t>执行</w:t>
      </w:r>
      <w:r w:rsidRPr="007F65AB">
        <w:rPr>
          <w:rFonts w:ascii="方正小标宋简体" w:eastAsia="方正小标宋简体" w:hAnsi="宋体" w:hint="eastAsia"/>
          <w:sz w:val="52"/>
          <w:szCs w:val="52"/>
        </w:rPr>
        <w:t>单位</w:t>
      </w:r>
    </w:p>
    <w:p w:rsidR="004B5F5A" w:rsidRPr="007F65AB" w:rsidRDefault="004B5F5A" w:rsidP="000C4BCF">
      <w:pPr>
        <w:jc w:val="center"/>
        <w:rPr>
          <w:rFonts w:ascii="方正小标宋简体" w:eastAsia="方正小标宋简体"/>
          <w:sz w:val="28"/>
          <w:szCs w:val="28"/>
        </w:rPr>
      </w:pPr>
    </w:p>
    <w:p w:rsidR="004B5F5A" w:rsidRPr="007F65AB" w:rsidRDefault="004B5F5A" w:rsidP="000C4BCF">
      <w:pPr>
        <w:jc w:val="center"/>
        <w:rPr>
          <w:rFonts w:ascii="方正小标宋简体" w:eastAsia="方正小标宋简体"/>
          <w:sz w:val="28"/>
          <w:szCs w:val="28"/>
        </w:rPr>
      </w:pPr>
    </w:p>
    <w:p w:rsidR="004B5F5A" w:rsidRPr="007F65AB" w:rsidRDefault="00D85939" w:rsidP="000C4BCF">
      <w:pPr>
        <w:jc w:val="center"/>
        <w:rPr>
          <w:rFonts w:ascii="方正小标宋简体" w:eastAsia="方正小标宋简体"/>
          <w:sz w:val="84"/>
          <w:szCs w:val="84"/>
        </w:rPr>
      </w:pPr>
      <w:r w:rsidRPr="007F65AB">
        <w:rPr>
          <w:rFonts w:ascii="方正小标宋简体" w:eastAsia="方正小标宋简体" w:hAnsi="宋体" w:hint="eastAsia"/>
          <w:sz w:val="84"/>
          <w:szCs w:val="84"/>
        </w:rPr>
        <w:t>招标文件</w:t>
      </w:r>
    </w:p>
    <w:p w:rsidR="004B5F5A" w:rsidRPr="000C4BCF" w:rsidRDefault="004B5F5A" w:rsidP="000C4BCF">
      <w:pPr>
        <w:jc w:val="center"/>
        <w:rPr>
          <w:rFonts w:ascii="方正小标宋简体" w:eastAsia="方正小标宋简体"/>
          <w:sz w:val="28"/>
          <w:szCs w:val="28"/>
        </w:rPr>
      </w:pPr>
    </w:p>
    <w:p w:rsidR="004B5F5A" w:rsidRPr="000C4BCF" w:rsidRDefault="004B5F5A" w:rsidP="000C4BCF">
      <w:pPr>
        <w:jc w:val="center"/>
        <w:rPr>
          <w:rFonts w:ascii="方正小标宋简体" w:eastAsia="方正小标宋简体"/>
          <w:sz w:val="28"/>
          <w:szCs w:val="28"/>
        </w:rPr>
      </w:pPr>
    </w:p>
    <w:p w:rsidR="004B5F5A" w:rsidRPr="000C4BCF" w:rsidRDefault="004B5F5A" w:rsidP="000C4BCF">
      <w:pPr>
        <w:jc w:val="center"/>
        <w:rPr>
          <w:rFonts w:ascii="方正小标宋简体" w:eastAsia="方正小标宋简体"/>
          <w:sz w:val="28"/>
          <w:szCs w:val="28"/>
        </w:rPr>
      </w:pPr>
    </w:p>
    <w:p w:rsidR="004B5F5A" w:rsidRPr="000C4BCF" w:rsidRDefault="004B5F5A" w:rsidP="000C4BCF">
      <w:pPr>
        <w:jc w:val="center"/>
        <w:rPr>
          <w:rFonts w:ascii="方正小标宋简体" w:eastAsia="方正小标宋简体"/>
          <w:sz w:val="28"/>
          <w:szCs w:val="28"/>
        </w:rPr>
      </w:pPr>
    </w:p>
    <w:p w:rsidR="004B5F5A" w:rsidRPr="000C4BCF" w:rsidRDefault="004B5F5A" w:rsidP="000C4BCF">
      <w:pPr>
        <w:jc w:val="center"/>
        <w:rPr>
          <w:rFonts w:ascii="方正小标宋简体" w:eastAsia="方正小标宋简体"/>
          <w:sz w:val="28"/>
          <w:szCs w:val="28"/>
        </w:rPr>
      </w:pPr>
    </w:p>
    <w:p w:rsidR="004B5F5A" w:rsidRPr="000C4BCF" w:rsidRDefault="004B5F5A" w:rsidP="000C4BCF">
      <w:pPr>
        <w:jc w:val="center"/>
        <w:rPr>
          <w:rFonts w:ascii="方正小标宋简体" w:eastAsia="方正小标宋简体"/>
          <w:sz w:val="28"/>
          <w:szCs w:val="28"/>
        </w:rPr>
      </w:pPr>
    </w:p>
    <w:p w:rsidR="004B5F5A" w:rsidRPr="000C4BCF" w:rsidRDefault="00D85939" w:rsidP="000C4BCF">
      <w:pPr>
        <w:jc w:val="center"/>
        <w:rPr>
          <w:rFonts w:ascii="方正小标宋简体" w:eastAsia="方正小标宋简体"/>
          <w:sz w:val="32"/>
          <w:szCs w:val="32"/>
        </w:rPr>
      </w:pPr>
      <w:r w:rsidRPr="000C4BCF">
        <w:rPr>
          <w:rFonts w:ascii="方正小标宋简体" w:eastAsia="方正小标宋简体" w:hAnsi="宋体" w:hint="eastAsia"/>
          <w:sz w:val="32"/>
          <w:szCs w:val="32"/>
        </w:rPr>
        <w:t>招标单位：广州市番禺莲花山旅游区</w:t>
      </w:r>
    </w:p>
    <w:p w:rsidR="004B5F5A" w:rsidRPr="000C4BCF" w:rsidRDefault="00D85939" w:rsidP="000C4BCF">
      <w:pPr>
        <w:jc w:val="center"/>
        <w:rPr>
          <w:rFonts w:ascii="方正小标宋简体" w:eastAsia="方正小标宋简体"/>
          <w:sz w:val="32"/>
          <w:szCs w:val="32"/>
        </w:rPr>
      </w:pPr>
      <w:r w:rsidRPr="000C4BCF">
        <w:rPr>
          <w:rFonts w:ascii="方正小标宋简体" w:eastAsia="方正小标宋简体" w:hAnsi="宋体" w:hint="eastAsia"/>
          <w:sz w:val="32"/>
          <w:szCs w:val="32"/>
        </w:rPr>
        <w:t>联系电话：</w:t>
      </w:r>
      <w:r w:rsidR="001C122B">
        <w:rPr>
          <w:rFonts w:ascii="方正小标宋简体" w:eastAsia="方正小标宋简体" w:hAnsi="宋体" w:hint="eastAsia"/>
          <w:sz w:val="32"/>
          <w:szCs w:val="32"/>
        </w:rPr>
        <w:t>020-</w:t>
      </w:r>
      <w:r w:rsidRPr="000C4BCF">
        <w:rPr>
          <w:rFonts w:ascii="方正小标宋简体" w:eastAsia="方正小标宋简体" w:hAnsi="宋体" w:hint="eastAsia"/>
          <w:sz w:val="32"/>
          <w:szCs w:val="32"/>
        </w:rPr>
        <w:t>84848669</w:t>
      </w:r>
    </w:p>
    <w:p w:rsidR="004B5F5A" w:rsidRPr="000C4BCF" w:rsidRDefault="00D85939" w:rsidP="000C4BCF">
      <w:pPr>
        <w:jc w:val="center"/>
        <w:rPr>
          <w:rFonts w:ascii="方正小标宋简体" w:eastAsia="方正小标宋简体"/>
          <w:sz w:val="44"/>
          <w:szCs w:val="44"/>
        </w:rPr>
      </w:pPr>
      <w:r w:rsidRPr="000C4BCF">
        <w:rPr>
          <w:rFonts w:ascii="方正小标宋简体" w:eastAsia="方正小标宋简体" w:hAnsi="宋体" w:hint="eastAsia"/>
          <w:sz w:val="32"/>
          <w:szCs w:val="32"/>
        </w:rPr>
        <w:t>招标时间：</w:t>
      </w:r>
      <w:r w:rsidR="007F65AB">
        <w:rPr>
          <w:rFonts w:ascii="方正小标宋简体" w:eastAsia="方正小标宋简体" w:hAnsi="宋体" w:hint="eastAsia"/>
          <w:sz w:val="32"/>
          <w:szCs w:val="32"/>
        </w:rPr>
        <w:t>2020</w:t>
      </w:r>
      <w:r w:rsidRPr="000C4BCF">
        <w:rPr>
          <w:rFonts w:ascii="方正小标宋简体" w:eastAsia="方正小标宋简体" w:hAnsi="宋体" w:hint="eastAsia"/>
          <w:sz w:val="32"/>
          <w:szCs w:val="32"/>
        </w:rPr>
        <w:t>年</w:t>
      </w:r>
      <w:r w:rsidR="006B144E">
        <w:rPr>
          <w:rFonts w:ascii="方正小标宋简体" w:eastAsia="方正小标宋简体" w:hAnsi="宋体" w:hint="eastAsia"/>
          <w:sz w:val="32"/>
          <w:szCs w:val="32"/>
        </w:rPr>
        <w:t>10</w:t>
      </w:r>
      <w:r w:rsidRPr="000C4BCF">
        <w:rPr>
          <w:rFonts w:ascii="方正小标宋简体" w:eastAsia="方正小标宋简体" w:hAnsi="宋体" w:hint="eastAsia"/>
          <w:sz w:val="32"/>
          <w:szCs w:val="32"/>
        </w:rPr>
        <w:t>月</w:t>
      </w:r>
    </w:p>
    <w:p w:rsidR="004B5F5A" w:rsidRPr="000C4BCF" w:rsidRDefault="004B5F5A" w:rsidP="00AC12AE">
      <w:pPr>
        <w:spacing w:beforeLines="50" w:line="52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4B5F5A" w:rsidRPr="000C4BCF" w:rsidRDefault="004B5F5A" w:rsidP="00AC12AE">
      <w:pPr>
        <w:spacing w:beforeLines="50" w:line="52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4B5F5A" w:rsidRPr="000C4BCF" w:rsidRDefault="004B5F5A" w:rsidP="00AC12AE">
      <w:pPr>
        <w:spacing w:beforeLines="50" w:line="52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4B5F5A" w:rsidRPr="000C4BCF" w:rsidRDefault="004B5F5A" w:rsidP="00AC12AE">
      <w:pPr>
        <w:spacing w:beforeLines="50" w:line="52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7F65AB" w:rsidRDefault="007F65AB" w:rsidP="007F65AB">
      <w:pPr>
        <w:jc w:val="center"/>
        <w:rPr>
          <w:rFonts w:ascii="方正小标宋简体" w:eastAsia="方正小标宋简体"/>
          <w:sz w:val="44"/>
          <w:szCs w:val="44"/>
        </w:rPr>
      </w:pPr>
      <w:r w:rsidRPr="007F65AB">
        <w:rPr>
          <w:rFonts w:ascii="方正小标宋简体" w:eastAsia="方正小标宋简体" w:hint="eastAsia"/>
          <w:sz w:val="44"/>
          <w:szCs w:val="44"/>
        </w:rPr>
        <w:t>莲花山旅游区申创国家5A级旅游景区</w:t>
      </w:r>
    </w:p>
    <w:p w:rsidR="004B5F5A" w:rsidRPr="007F65AB" w:rsidRDefault="007F65AB" w:rsidP="007F65AB">
      <w:pPr>
        <w:jc w:val="center"/>
        <w:rPr>
          <w:rFonts w:ascii="方正小标宋简体" w:eastAsia="方正小标宋简体"/>
          <w:sz w:val="44"/>
          <w:szCs w:val="44"/>
        </w:rPr>
      </w:pPr>
      <w:r w:rsidRPr="007F65AB">
        <w:rPr>
          <w:rFonts w:ascii="方正小标宋简体" w:eastAsia="方正小标宋简体" w:hint="eastAsia"/>
          <w:sz w:val="44"/>
          <w:szCs w:val="44"/>
        </w:rPr>
        <w:t>专家研讨会</w:t>
      </w:r>
      <w:r w:rsidR="001C122B">
        <w:rPr>
          <w:rFonts w:ascii="方正小标宋简体" w:eastAsia="方正小标宋简体" w:hint="eastAsia"/>
          <w:sz w:val="44"/>
          <w:szCs w:val="44"/>
        </w:rPr>
        <w:t>执行</w:t>
      </w:r>
      <w:r w:rsidRPr="007F65AB">
        <w:rPr>
          <w:rFonts w:ascii="方正小标宋简体" w:eastAsia="方正小标宋简体" w:hint="eastAsia"/>
          <w:sz w:val="44"/>
          <w:szCs w:val="44"/>
        </w:rPr>
        <w:t>单位</w:t>
      </w:r>
      <w:r w:rsidR="00D85939" w:rsidRPr="000C4BCF">
        <w:rPr>
          <w:rFonts w:ascii="方正小标宋简体" w:eastAsia="方正小标宋简体" w:hint="eastAsia"/>
          <w:sz w:val="44"/>
          <w:szCs w:val="44"/>
        </w:rPr>
        <w:t>招标书</w:t>
      </w:r>
    </w:p>
    <w:p w:rsidR="000C4BCF" w:rsidRPr="000C4BCF" w:rsidRDefault="000C4BCF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B5F5A" w:rsidRPr="007F65AB" w:rsidRDefault="007F65AB" w:rsidP="007F65A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65AB">
        <w:rPr>
          <w:rFonts w:ascii="仿宋_GB2312" w:eastAsia="仿宋_GB2312" w:hAnsi="宋体" w:hint="eastAsia"/>
          <w:sz w:val="32"/>
          <w:szCs w:val="32"/>
        </w:rPr>
        <w:t>为确保</w:t>
      </w:r>
      <w:r>
        <w:rPr>
          <w:rFonts w:ascii="仿宋_GB2312" w:eastAsia="仿宋_GB2312" w:hAnsi="宋体" w:hint="eastAsia"/>
          <w:sz w:val="32"/>
          <w:szCs w:val="32"/>
        </w:rPr>
        <w:t>莲花山旅游区</w:t>
      </w:r>
      <w:r w:rsidRPr="007F65AB">
        <w:rPr>
          <w:rFonts w:ascii="仿宋_GB2312" w:eastAsia="仿宋_GB2312" w:hAnsi="宋体" w:hint="eastAsia"/>
          <w:sz w:val="32"/>
          <w:szCs w:val="32"/>
        </w:rPr>
        <w:t>多个文旅建设项目及景区规划、项目策划、建筑设计、景观改造等的必要性、科学性与准确性，明确申创国家5A级旅游景区工作路径、工作目标，</w:t>
      </w:r>
      <w:r w:rsidR="0028097D">
        <w:rPr>
          <w:rFonts w:ascii="仿宋_GB2312" w:eastAsia="仿宋_GB2312" w:hAnsi="宋体" w:hint="eastAsia"/>
          <w:sz w:val="32"/>
          <w:szCs w:val="32"/>
        </w:rPr>
        <w:t>将</w:t>
      </w:r>
      <w:r w:rsidRPr="007F65AB">
        <w:rPr>
          <w:rFonts w:ascii="仿宋_GB2312" w:eastAsia="仿宋_GB2312" w:hAnsi="宋体" w:hint="eastAsia"/>
          <w:sz w:val="32"/>
          <w:szCs w:val="32"/>
        </w:rPr>
        <w:t>举办“莲花山旅游区申创国家5A级旅游景区专家研讨会”，</w:t>
      </w:r>
      <w:r>
        <w:rPr>
          <w:rFonts w:ascii="仿宋_GB2312" w:eastAsia="仿宋_GB2312" w:hint="eastAsia"/>
          <w:sz w:val="32"/>
          <w:szCs w:val="32"/>
        </w:rPr>
        <w:t>现计划通过招投标形式确定专家研讨会的</w:t>
      </w:r>
      <w:r w:rsidR="002314D9"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 w:hint="eastAsia"/>
          <w:sz w:val="32"/>
          <w:szCs w:val="32"/>
        </w:rPr>
        <w:t>单位，</w:t>
      </w:r>
      <w:r w:rsidR="00D85939" w:rsidRPr="000C4BCF">
        <w:rPr>
          <w:rFonts w:ascii="仿宋_GB2312" w:eastAsia="仿宋_GB2312" w:hAnsi="宋体" w:hint="eastAsia"/>
          <w:sz w:val="32"/>
          <w:szCs w:val="32"/>
        </w:rPr>
        <w:t>择优确定中标单位</w:t>
      </w:r>
      <w:r>
        <w:rPr>
          <w:rFonts w:ascii="仿宋_GB2312" w:eastAsia="仿宋_GB2312" w:hAnsi="宋体" w:hint="eastAsia"/>
          <w:sz w:val="32"/>
          <w:szCs w:val="32"/>
        </w:rPr>
        <w:t>后签订</w:t>
      </w:r>
      <w:r w:rsidR="00D85939" w:rsidRPr="000C4BCF">
        <w:rPr>
          <w:rFonts w:ascii="仿宋_GB2312" w:eastAsia="仿宋_GB2312" w:hAnsi="宋体" w:hint="eastAsia"/>
          <w:sz w:val="32"/>
          <w:szCs w:val="32"/>
        </w:rPr>
        <w:t>合同</w:t>
      </w:r>
      <w:r>
        <w:rPr>
          <w:rFonts w:ascii="仿宋_GB2312" w:eastAsia="仿宋_GB2312" w:hAnsi="宋体" w:hint="eastAsia"/>
          <w:sz w:val="32"/>
          <w:szCs w:val="32"/>
        </w:rPr>
        <w:t>并具体落实</w:t>
      </w:r>
      <w:r w:rsidR="00D85939" w:rsidRPr="000C4BCF">
        <w:rPr>
          <w:rFonts w:ascii="仿宋_GB2312" w:eastAsia="仿宋_GB2312" w:hAnsi="宋体" w:hint="eastAsia"/>
          <w:sz w:val="32"/>
          <w:szCs w:val="32"/>
        </w:rPr>
        <w:t>。</w:t>
      </w:r>
    </w:p>
    <w:p w:rsidR="004B5F5A" w:rsidRPr="000C4BCF" w:rsidRDefault="00D85939">
      <w:pPr>
        <w:pStyle w:val="1"/>
        <w:numPr>
          <w:ilvl w:val="0"/>
          <w:numId w:val="1"/>
        </w:numPr>
        <w:spacing w:line="500" w:lineRule="exact"/>
        <w:ind w:firstLineChars="0"/>
        <w:rPr>
          <w:rFonts w:ascii="仿宋_GB2312" w:eastAsia="仿宋_GB2312"/>
          <w:b/>
          <w:sz w:val="32"/>
          <w:szCs w:val="32"/>
        </w:rPr>
      </w:pPr>
      <w:r w:rsidRPr="000C4BCF">
        <w:rPr>
          <w:rFonts w:ascii="仿宋_GB2312" w:eastAsia="仿宋_GB2312" w:hAnsi="宋体" w:hint="eastAsia"/>
          <w:b/>
          <w:sz w:val="32"/>
          <w:szCs w:val="32"/>
        </w:rPr>
        <w:t>项目概况</w:t>
      </w:r>
    </w:p>
    <w:p w:rsidR="004B5F5A" w:rsidRPr="000C4BCF" w:rsidRDefault="001C122B" w:rsidP="006B144E">
      <w:pPr>
        <w:pStyle w:val="1"/>
        <w:spacing w:line="500" w:lineRule="exact"/>
        <w:ind w:firstLineChars="196" w:firstLine="627"/>
        <w:rPr>
          <w:rFonts w:ascii="仿宋_GB2312" w:eastAsia="仿宋_GB2312"/>
          <w:b/>
          <w:sz w:val="32"/>
          <w:szCs w:val="32"/>
        </w:rPr>
      </w:pPr>
      <w:r w:rsidRPr="006B144E">
        <w:rPr>
          <w:rFonts w:ascii="仿宋_GB2312" w:eastAsia="仿宋_GB2312" w:hAnsi="宋体" w:hint="eastAsia"/>
          <w:sz w:val="32"/>
          <w:szCs w:val="32"/>
        </w:rPr>
        <w:t>（一）</w:t>
      </w:r>
      <w:r w:rsidR="00D85939" w:rsidRPr="000C4BCF">
        <w:rPr>
          <w:rFonts w:ascii="仿宋_GB2312" w:eastAsia="仿宋_GB2312" w:hAnsi="宋体" w:hint="eastAsia"/>
          <w:sz w:val="32"/>
          <w:szCs w:val="32"/>
        </w:rPr>
        <w:t>项目名称：</w:t>
      </w:r>
      <w:r w:rsidR="007F65AB">
        <w:rPr>
          <w:rFonts w:ascii="仿宋_GB2312" w:eastAsia="仿宋_GB2312" w:hAnsi="宋体" w:hint="eastAsia"/>
          <w:sz w:val="32"/>
          <w:szCs w:val="32"/>
        </w:rPr>
        <w:t>莲花山旅游区申创国家5A级旅游景区专家研讨会</w:t>
      </w:r>
      <w:r>
        <w:rPr>
          <w:rFonts w:ascii="仿宋_GB2312" w:eastAsia="仿宋_GB2312" w:hAnsi="宋体" w:hint="eastAsia"/>
          <w:sz w:val="32"/>
          <w:szCs w:val="32"/>
        </w:rPr>
        <w:t>（以下简称研讨会）</w:t>
      </w:r>
      <w:r w:rsidR="00915231" w:rsidRPr="000C4BCF">
        <w:rPr>
          <w:rFonts w:ascii="仿宋_GB2312" w:eastAsia="仿宋_GB2312" w:hAnsi="宋体" w:hint="eastAsia"/>
          <w:sz w:val="32"/>
          <w:szCs w:val="32"/>
        </w:rPr>
        <w:t>。</w:t>
      </w:r>
    </w:p>
    <w:p w:rsidR="007F65AB" w:rsidRDefault="001C122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D85939" w:rsidRPr="000C4BCF">
        <w:rPr>
          <w:rFonts w:ascii="仿宋_GB2312" w:eastAsia="仿宋_GB2312" w:hAnsi="宋体" w:hint="eastAsia"/>
          <w:sz w:val="32"/>
          <w:szCs w:val="32"/>
        </w:rPr>
        <w:t>项目</w:t>
      </w:r>
      <w:r w:rsidR="007F65AB">
        <w:rPr>
          <w:rFonts w:ascii="仿宋_GB2312" w:eastAsia="仿宋_GB2312" w:hAnsi="宋体" w:hint="eastAsia"/>
          <w:sz w:val="32"/>
          <w:szCs w:val="32"/>
        </w:rPr>
        <w:t>时间</w:t>
      </w:r>
      <w:r w:rsidR="00D85939" w:rsidRPr="000C4BCF">
        <w:rPr>
          <w:rFonts w:ascii="仿宋_GB2312" w:eastAsia="仿宋_GB2312" w:hAnsi="宋体" w:hint="eastAsia"/>
          <w:sz w:val="32"/>
          <w:szCs w:val="32"/>
        </w:rPr>
        <w:t>：</w:t>
      </w:r>
      <w:r w:rsidR="007F65AB">
        <w:rPr>
          <w:rFonts w:ascii="仿宋_GB2312" w:eastAsia="仿宋_GB2312" w:hAnsi="宋体" w:hint="eastAsia"/>
          <w:sz w:val="32"/>
          <w:szCs w:val="32"/>
        </w:rPr>
        <w:t>2020年10月</w:t>
      </w:r>
      <w:r w:rsidR="00AC12AE">
        <w:rPr>
          <w:rFonts w:ascii="仿宋_GB2312" w:eastAsia="仿宋_GB2312" w:hAnsi="宋体" w:hint="eastAsia"/>
          <w:sz w:val="32"/>
          <w:szCs w:val="32"/>
        </w:rPr>
        <w:t>中下旬</w:t>
      </w:r>
      <w:r w:rsidR="007F65AB">
        <w:rPr>
          <w:rFonts w:ascii="仿宋_GB2312" w:eastAsia="仿宋_GB2312" w:hAnsi="宋体" w:hint="eastAsia"/>
          <w:sz w:val="32"/>
          <w:szCs w:val="32"/>
        </w:rPr>
        <w:t>。</w:t>
      </w:r>
    </w:p>
    <w:p w:rsidR="007F65AB" w:rsidRDefault="001C122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7F65AB">
        <w:rPr>
          <w:rFonts w:ascii="仿宋_GB2312" w:eastAsia="仿宋_GB2312" w:hAnsi="宋体" w:hint="eastAsia"/>
          <w:sz w:val="32"/>
          <w:szCs w:val="32"/>
        </w:rPr>
        <w:t>项目地点：广州市番禺莲花山旅游区内。</w:t>
      </w:r>
    </w:p>
    <w:p w:rsidR="001C122B" w:rsidRDefault="001C122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</w:t>
      </w:r>
      <w:r w:rsidR="007F65AB">
        <w:rPr>
          <w:rFonts w:ascii="仿宋_GB2312" w:eastAsia="仿宋_GB2312" w:hAnsi="宋体" w:hint="eastAsia"/>
          <w:sz w:val="32"/>
          <w:szCs w:val="32"/>
        </w:rPr>
        <w:t>项目内容：</w:t>
      </w:r>
    </w:p>
    <w:p w:rsidR="002F5561" w:rsidRPr="002F5561" w:rsidRDefault="002F5561" w:rsidP="002F5561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5561">
        <w:rPr>
          <w:rFonts w:ascii="仿宋_GB2312" w:eastAsia="仿宋_GB2312" w:hAnsi="宋体" w:hint="eastAsia"/>
          <w:sz w:val="32"/>
          <w:szCs w:val="32"/>
        </w:rPr>
        <w:t>1.落实邀请参与专题研讨会的成员、专家，包括国家文旅部相关负责人、景评专家及文旅专家，确保各与会成员、专家到场参会。</w:t>
      </w:r>
    </w:p>
    <w:p w:rsidR="002F5561" w:rsidRPr="002F5561" w:rsidRDefault="002F5561" w:rsidP="002F5561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5561">
        <w:rPr>
          <w:rFonts w:ascii="仿宋_GB2312" w:eastAsia="仿宋_GB2312" w:hAnsi="宋体" w:hint="eastAsia"/>
          <w:sz w:val="32"/>
          <w:szCs w:val="32"/>
        </w:rPr>
        <w:t>2.研讨会策划及组织。</w:t>
      </w:r>
    </w:p>
    <w:p w:rsidR="002F5561" w:rsidRPr="002F5561" w:rsidRDefault="002F5561" w:rsidP="002F5561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5561">
        <w:rPr>
          <w:rFonts w:ascii="仿宋_GB2312" w:eastAsia="仿宋_GB2312" w:hAnsi="宋体" w:hint="eastAsia"/>
          <w:sz w:val="32"/>
          <w:szCs w:val="32"/>
        </w:rPr>
        <w:t xml:space="preserve">（1）制定接待方案，规划接待路线，做好接待有关安排； </w:t>
      </w:r>
    </w:p>
    <w:p w:rsidR="002F5561" w:rsidRPr="002F5561" w:rsidRDefault="002F5561" w:rsidP="002F5561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5561">
        <w:rPr>
          <w:rFonts w:ascii="仿宋_GB2312" w:eastAsia="仿宋_GB2312" w:hAnsi="宋体" w:hint="eastAsia"/>
          <w:sz w:val="32"/>
          <w:szCs w:val="32"/>
        </w:rPr>
        <w:t>（2）合理规划会议流程，确保各项流程循序渐进、有效落实，并根据需要开展实地调研，规划调研线路，确保参会人员对项目有清晰的了解及认识，达到研讨会的既定效果；</w:t>
      </w:r>
    </w:p>
    <w:p w:rsidR="002F5561" w:rsidRPr="002F5561" w:rsidRDefault="002F5561" w:rsidP="002F5561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5561">
        <w:rPr>
          <w:rFonts w:ascii="仿宋_GB2312" w:eastAsia="仿宋_GB2312" w:hAnsi="宋体" w:hint="eastAsia"/>
          <w:sz w:val="32"/>
          <w:szCs w:val="32"/>
        </w:rPr>
        <w:t>（3）制定并落实会场布置方案，保障各项议程顺利进行；</w:t>
      </w:r>
    </w:p>
    <w:p w:rsidR="002F5561" w:rsidRPr="002F5561" w:rsidRDefault="002F5561" w:rsidP="002F5561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5561">
        <w:rPr>
          <w:rFonts w:ascii="仿宋_GB2312" w:eastAsia="仿宋_GB2312" w:hAnsi="宋体" w:hint="eastAsia"/>
          <w:sz w:val="32"/>
          <w:szCs w:val="32"/>
        </w:rPr>
        <w:t>（4）根据会议内容及流程，负责会议现场执行，把控会议进度，落实各项议程，并做好现场摄像工作；</w:t>
      </w:r>
    </w:p>
    <w:p w:rsidR="002F5561" w:rsidRDefault="002F5561" w:rsidP="002F5561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F5561">
        <w:rPr>
          <w:rFonts w:ascii="仿宋_GB2312" w:eastAsia="仿宋_GB2312" w:hAnsi="宋体" w:hint="eastAsia"/>
          <w:sz w:val="32"/>
          <w:szCs w:val="32"/>
        </w:rPr>
        <w:t>（5）整理会议讨论内容及要点，做好会议记录与总结。</w:t>
      </w:r>
    </w:p>
    <w:p w:rsidR="004B5F5A" w:rsidRPr="000C4BCF" w:rsidRDefault="00D85939" w:rsidP="002F5561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C4BCF">
        <w:rPr>
          <w:rFonts w:ascii="仿宋_GB2312" w:eastAsia="仿宋_GB2312" w:hAnsi="宋体" w:hint="eastAsia"/>
          <w:b/>
          <w:sz w:val="32"/>
          <w:szCs w:val="32"/>
        </w:rPr>
        <w:lastRenderedPageBreak/>
        <w:t>二、</w:t>
      </w:r>
      <w:r w:rsidR="0096106F">
        <w:rPr>
          <w:rFonts w:ascii="仿宋_GB2312" w:eastAsia="仿宋_GB2312" w:hAnsi="宋体" w:hint="eastAsia"/>
          <w:b/>
          <w:sz w:val="32"/>
          <w:szCs w:val="32"/>
        </w:rPr>
        <w:t>项目标的</w:t>
      </w:r>
    </w:p>
    <w:p w:rsidR="0096106F" w:rsidRPr="000C4BCF" w:rsidRDefault="0096106F" w:rsidP="0096106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标的限价为为</w:t>
      </w:r>
      <w:r>
        <w:rPr>
          <w:rFonts w:ascii="仿宋_GB2312" w:eastAsia="仿宋_GB2312" w:hint="eastAsia"/>
          <w:sz w:val="32"/>
          <w:szCs w:val="32"/>
        </w:rPr>
        <w:t>¥</w:t>
      </w:r>
      <w:r>
        <w:rPr>
          <w:rFonts w:ascii="仿宋_GB2312" w:eastAsia="仿宋_GB2312" w:hint="eastAsia"/>
          <w:sz w:val="32"/>
          <w:szCs w:val="32"/>
        </w:rPr>
        <w:t>29</w:t>
      </w:r>
      <w:r w:rsidR="002F556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,000.00元（大写：人民币贰拾玖万元</w:t>
      </w:r>
      <w:r w:rsidR="002F5561">
        <w:rPr>
          <w:rFonts w:ascii="仿宋_GB2312" w:eastAsia="仿宋_GB2312" w:hint="eastAsia"/>
          <w:sz w:val="32"/>
          <w:szCs w:val="32"/>
        </w:rPr>
        <w:t>伍仟元</w:t>
      </w:r>
      <w:r>
        <w:rPr>
          <w:rFonts w:ascii="仿宋_GB2312" w:eastAsia="仿宋_GB2312" w:hint="eastAsia"/>
          <w:sz w:val="32"/>
          <w:szCs w:val="32"/>
        </w:rPr>
        <w:t>整），投标报价</w:t>
      </w:r>
      <w:r>
        <w:rPr>
          <w:rFonts w:ascii="仿宋_GB2312" w:eastAsia="仿宋_GB2312" w:hAnsi="宋体" w:hint="eastAsia"/>
          <w:sz w:val="32"/>
          <w:szCs w:val="32"/>
        </w:rPr>
        <w:t>应</w:t>
      </w:r>
      <w:r w:rsidRPr="0096106F">
        <w:rPr>
          <w:rFonts w:ascii="仿宋_GB2312" w:eastAsia="仿宋_GB2312" w:hAnsi="宋体" w:hint="eastAsia"/>
          <w:sz w:val="32"/>
          <w:szCs w:val="32"/>
        </w:rPr>
        <w:t>包含组织策划费、劳务费、</w:t>
      </w:r>
      <w:r w:rsidR="00326875">
        <w:rPr>
          <w:rFonts w:ascii="仿宋_GB2312" w:eastAsia="仿宋_GB2312" w:hAnsi="宋体" w:hint="eastAsia"/>
          <w:sz w:val="32"/>
          <w:szCs w:val="32"/>
        </w:rPr>
        <w:t>交通费、</w:t>
      </w:r>
      <w:r w:rsidRPr="0096106F">
        <w:rPr>
          <w:rFonts w:ascii="仿宋_GB2312" w:eastAsia="仿宋_GB2312" w:hAnsi="宋体" w:hint="eastAsia"/>
          <w:sz w:val="32"/>
          <w:szCs w:val="32"/>
        </w:rPr>
        <w:t>咨询服务费、税金等费用，不含会议人员食宿费</w:t>
      </w:r>
      <w:r w:rsidR="007003C8">
        <w:rPr>
          <w:rFonts w:ascii="仿宋_GB2312" w:eastAsia="仿宋_GB2312" w:hAnsi="宋体" w:hint="eastAsia"/>
          <w:sz w:val="32"/>
          <w:szCs w:val="32"/>
        </w:rPr>
        <w:t>等</w:t>
      </w:r>
      <w:r w:rsidRPr="0096106F">
        <w:rPr>
          <w:rFonts w:ascii="仿宋_GB2312" w:eastAsia="仿宋_GB2312" w:hAnsi="宋体" w:hint="eastAsia"/>
          <w:sz w:val="32"/>
          <w:szCs w:val="32"/>
        </w:rPr>
        <w:t>。</w:t>
      </w:r>
    </w:p>
    <w:p w:rsidR="004B5F5A" w:rsidRDefault="0096106F">
      <w:pPr>
        <w:spacing w:line="50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</w:t>
      </w:r>
      <w:r w:rsidR="00D85939" w:rsidRPr="000C4BCF">
        <w:rPr>
          <w:rFonts w:ascii="仿宋_GB2312" w:eastAsia="仿宋_GB2312" w:hAnsi="宋体" w:hint="eastAsia"/>
          <w:b/>
          <w:sz w:val="32"/>
          <w:szCs w:val="32"/>
        </w:rPr>
        <w:t>、日程安排</w:t>
      </w:r>
    </w:p>
    <w:p w:rsidR="0028097D" w:rsidRPr="0028097D" w:rsidRDefault="0028097D" w:rsidP="0028097D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28097D">
        <w:rPr>
          <w:rFonts w:ascii="仿宋_GB2312" w:eastAsia="仿宋_GB2312" w:hAnsi="宋体" w:hint="eastAsia"/>
          <w:sz w:val="32"/>
          <w:szCs w:val="32"/>
        </w:rPr>
        <w:t>投标</w:t>
      </w:r>
    </w:p>
    <w:p w:rsidR="0028097D" w:rsidRDefault="0028097D" w:rsidP="0028097D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503B9">
        <w:rPr>
          <w:rFonts w:ascii="仿宋_GB2312" w:eastAsia="仿宋_GB2312" w:hAnsi="宋体" w:hint="eastAsia"/>
          <w:sz w:val="32"/>
          <w:szCs w:val="32"/>
        </w:rPr>
        <w:t>投标截止时间为2020年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F503B9">
        <w:rPr>
          <w:rFonts w:ascii="仿宋_GB2312" w:eastAsia="仿宋_GB2312" w:hAnsi="宋体" w:hint="eastAsia"/>
          <w:sz w:val="32"/>
          <w:szCs w:val="32"/>
        </w:rPr>
        <w:t>月</w:t>
      </w:r>
      <w:r w:rsidR="006B144E">
        <w:rPr>
          <w:rFonts w:ascii="仿宋_GB2312" w:eastAsia="仿宋_GB2312" w:hAnsi="宋体" w:hint="eastAsia"/>
          <w:sz w:val="32"/>
          <w:szCs w:val="32"/>
        </w:rPr>
        <w:t>12</w:t>
      </w:r>
      <w:r w:rsidRPr="00F503B9">
        <w:rPr>
          <w:rFonts w:ascii="仿宋_GB2312" w:eastAsia="仿宋_GB2312" w:hAnsi="宋体" w:hint="eastAsia"/>
          <w:sz w:val="32"/>
          <w:szCs w:val="32"/>
        </w:rPr>
        <w:t>日</w:t>
      </w:r>
      <w:r w:rsidR="006B144E">
        <w:rPr>
          <w:rFonts w:ascii="仿宋_GB2312" w:eastAsia="仿宋_GB2312" w:hAnsi="宋体" w:hint="eastAsia"/>
          <w:sz w:val="32"/>
          <w:szCs w:val="32"/>
        </w:rPr>
        <w:t>12</w:t>
      </w:r>
      <w:r w:rsidRPr="00F503B9">
        <w:rPr>
          <w:rFonts w:ascii="仿宋_GB2312" w:eastAsia="仿宋_GB2312" w:hAnsi="宋体" w:hint="eastAsia"/>
          <w:sz w:val="32"/>
          <w:szCs w:val="32"/>
        </w:rPr>
        <w:t>时</w:t>
      </w:r>
      <w:r>
        <w:rPr>
          <w:rFonts w:ascii="仿宋_GB2312" w:eastAsia="仿宋_GB2312" w:hAnsi="宋体" w:hint="eastAsia"/>
          <w:sz w:val="32"/>
          <w:szCs w:val="32"/>
        </w:rPr>
        <w:t>00分</w:t>
      </w:r>
      <w:r w:rsidRPr="00F503B9">
        <w:rPr>
          <w:rFonts w:ascii="仿宋_GB2312" w:eastAsia="仿宋_GB2312" w:hAnsi="宋体" w:hint="eastAsia"/>
          <w:sz w:val="32"/>
          <w:szCs w:val="32"/>
        </w:rPr>
        <w:t>，投标单位须于</w:t>
      </w:r>
      <w:r>
        <w:rPr>
          <w:rFonts w:ascii="仿宋_GB2312" w:eastAsia="仿宋_GB2312" w:hAnsi="宋体" w:hint="eastAsia"/>
          <w:sz w:val="32"/>
          <w:szCs w:val="32"/>
        </w:rPr>
        <w:t>此截止时间前把投标文件电子版和纸质版交到莲花山旅游区宣传部（邮寄方式按文件寄出时间为准）。</w:t>
      </w:r>
    </w:p>
    <w:p w:rsidR="0028097D" w:rsidRDefault="0028097D" w:rsidP="0028097D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28097D">
        <w:rPr>
          <w:rFonts w:ascii="仿宋_GB2312" w:eastAsia="仿宋_GB2312" w:hAnsi="宋体" w:hint="eastAsia"/>
          <w:sz w:val="32"/>
          <w:szCs w:val="32"/>
        </w:rPr>
        <w:t>开标</w:t>
      </w:r>
    </w:p>
    <w:p w:rsidR="0028097D" w:rsidRDefault="0028097D" w:rsidP="0028097D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503B9"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招标单位</w:t>
      </w:r>
      <w:r w:rsidRPr="00F503B9">
        <w:rPr>
          <w:rFonts w:ascii="仿宋_GB2312" w:eastAsia="仿宋_GB2312" w:hAnsi="宋体" w:hint="eastAsia"/>
          <w:sz w:val="32"/>
          <w:szCs w:val="32"/>
        </w:rPr>
        <w:t>将于2020年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F503B9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16</w:t>
      </w:r>
      <w:r w:rsidRPr="00F503B9">
        <w:rPr>
          <w:rFonts w:ascii="仿宋_GB2312" w:eastAsia="仿宋_GB2312" w:hAnsi="宋体" w:hint="eastAsia"/>
          <w:sz w:val="32"/>
          <w:szCs w:val="32"/>
        </w:rPr>
        <w:t>日前开标，开标地点为莲花山旅游</w:t>
      </w:r>
      <w:r>
        <w:rPr>
          <w:rFonts w:ascii="仿宋_GB2312" w:eastAsia="仿宋_GB2312" w:hAnsi="宋体" w:hint="eastAsia"/>
          <w:sz w:val="32"/>
          <w:szCs w:val="32"/>
        </w:rPr>
        <w:t>区莲花楼会议室。</w:t>
      </w:r>
    </w:p>
    <w:p w:rsidR="0028097D" w:rsidRPr="0028097D" w:rsidRDefault="0028097D" w:rsidP="0028097D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2.开标方式为由招标单位组织评标小组对标书进行议标、评估，投标单位不参与现场评标。</w:t>
      </w:r>
    </w:p>
    <w:p w:rsidR="0096106F" w:rsidRPr="0028097D" w:rsidRDefault="0028097D" w:rsidP="0028097D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3.招标单位根据评审意见，结合方案的各因素进行综合评估，性价比高者为中标单位。</w:t>
      </w:r>
    </w:p>
    <w:p w:rsidR="004B5F5A" w:rsidRPr="000C4BCF" w:rsidRDefault="0028097D">
      <w:pPr>
        <w:spacing w:line="5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</w:t>
      </w:r>
      <w:r w:rsidR="00D85939" w:rsidRPr="000C4BCF">
        <w:rPr>
          <w:rFonts w:ascii="仿宋_GB2312" w:eastAsia="仿宋_GB2312" w:hAnsi="宋体" w:hint="eastAsia"/>
          <w:b/>
          <w:sz w:val="32"/>
          <w:szCs w:val="32"/>
        </w:rPr>
        <w:t>、投标单位资格</w:t>
      </w:r>
    </w:p>
    <w:p w:rsidR="0028097D" w:rsidRPr="0022613D" w:rsidRDefault="0028097D" w:rsidP="0028097D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22613D">
        <w:rPr>
          <w:rFonts w:ascii="仿宋_GB2312" w:eastAsia="仿宋_GB2312" w:hAnsi="宋体" w:hint="eastAsia"/>
          <w:sz w:val="32"/>
          <w:szCs w:val="32"/>
        </w:rPr>
        <w:t>有近两年大型旅游文化活动策划、执行经验，可附案例简介。</w:t>
      </w:r>
    </w:p>
    <w:p w:rsidR="004B5F5A" w:rsidRPr="0028097D" w:rsidRDefault="0028097D" w:rsidP="0028097D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Pr="0022613D">
        <w:rPr>
          <w:rFonts w:ascii="仿宋_GB2312" w:eastAsia="仿宋_GB2312" w:hAnsi="宋体" w:hint="eastAsia"/>
          <w:sz w:val="32"/>
          <w:szCs w:val="32"/>
        </w:rPr>
        <w:t>具有独立法人资格的演艺公司、文化传播公司、策划咨询公司或广告公司。</w:t>
      </w:r>
    </w:p>
    <w:p w:rsidR="004B5F5A" w:rsidRPr="000C4BCF" w:rsidRDefault="0028097D">
      <w:pPr>
        <w:spacing w:line="5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</w:t>
      </w:r>
      <w:r w:rsidR="00D85939" w:rsidRPr="000C4BCF">
        <w:rPr>
          <w:rFonts w:ascii="仿宋_GB2312" w:eastAsia="仿宋_GB2312" w:hAnsi="宋体" w:hint="eastAsia"/>
          <w:b/>
          <w:sz w:val="32"/>
          <w:szCs w:val="32"/>
        </w:rPr>
        <w:t>、招标文件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1</w:t>
      </w:r>
      <w:r w:rsidRPr="000C4BCF">
        <w:rPr>
          <w:rFonts w:ascii="仿宋_GB2312" w:eastAsia="仿宋_GB2312" w:hint="eastAsia"/>
          <w:sz w:val="32"/>
          <w:szCs w:val="32"/>
        </w:rPr>
        <w:t>.</w:t>
      </w:r>
      <w:r w:rsidRPr="000C4BCF">
        <w:rPr>
          <w:rFonts w:ascii="仿宋_GB2312" w:eastAsia="仿宋_GB2312" w:hAnsi="宋体" w:hint="eastAsia"/>
          <w:sz w:val="32"/>
          <w:szCs w:val="32"/>
        </w:rPr>
        <w:t>投标单位应认真了解招标单位提供的招标书等项目资料。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2</w:t>
      </w:r>
      <w:r w:rsidRPr="000C4BCF">
        <w:rPr>
          <w:rFonts w:ascii="仿宋_GB2312" w:eastAsia="仿宋_GB2312" w:hint="eastAsia"/>
          <w:sz w:val="32"/>
          <w:szCs w:val="32"/>
        </w:rPr>
        <w:t>.</w:t>
      </w:r>
      <w:r w:rsidRPr="000C4BCF">
        <w:rPr>
          <w:rFonts w:ascii="仿宋_GB2312" w:eastAsia="仿宋_GB2312" w:hAnsi="宋体" w:hint="eastAsia"/>
          <w:sz w:val="32"/>
          <w:szCs w:val="32"/>
        </w:rPr>
        <w:t>开标前形成的答疑文件或补充招标文件是招标文件的组成部分，与招标文件具有同等效力。</w:t>
      </w:r>
    </w:p>
    <w:p w:rsidR="004B5F5A" w:rsidRPr="000C4BCF" w:rsidRDefault="0028097D">
      <w:pPr>
        <w:spacing w:line="5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</w:t>
      </w:r>
      <w:r w:rsidR="00D85939" w:rsidRPr="000C4BCF">
        <w:rPr>
          <w:rFonts w:ascii="仿宋_GB2312" w:eastAsia="仿宋_GB2312" w:hAnsi="宋体" w:hint="eastAsia"/>
          <w:b/>
          <w:sz w:val="32"/>
          <w:szCs w:val="32"/>
        </w:rPr>
        <w:t>、投标文件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1.投标书、法定代表人证明、授权委托书、投标承诺书、投标报价书等。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lastRenderedPageBreak/>
        <w:t>2.法人营业执照（复印件）。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3.成功案例简介、信誉材料及证书等。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4.投标单位应将投标文件密封，并在包封上写明投标单位名称、项目名称，应加盖投标单位公章及法定代表人或授权人的印鉴。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int="eastAsia"/>
          <w:sz w:val="32"/>
          <w:szCs w:val="32"/>
        </w:rPr>
        <w:t>5.</w:t>
      </w:r>
      <w:r w:rsidRPr="000C4BCF">
        <w:rPr>
          <w:rFonts w:ascii="仿宋_GB2312" w:eastAsia="仿宋_GB2312" w:hAnsi="宋体" w:hint="eastAsia"/>
          <w:sz w:val="32"/>
          <w:szCs w:val="32"/>
        </w:rPr>
        <w:t>投标文件须为纸质文件，可另附电子文件一份。</w:t>
      </w:r>
    </w:p>
    <w:p w:rsidR="004B5F5A" w:rsidRPr="000C4BCF" w:rsidRDefault="0028097D">
      <w:pPr>
        <w:spacing w:line="5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七</w:t>
      </w:r>
      <w:r w:rsidR="00D85939" w:rsidRPr="000C4BCF">
        <w:rPr>
          <w:rFonts w:ascii="仿宋_GB2312" w:eastAsia="仿宋_GB2312" w:hAnsi="宋体" w:hint="eastAsia"/>
          <w:b/>
          <w:sz w:val="32"/>
          <w:szCs w:val="32"/>
        </w:rPr>
        <w:t>、投标费用</w:t>
      </w:r>
    </w:p>
    <w:p w:rsidR="004B5F5A" w:rsidRPr="000C4BCF" w:rsidRDefault="00D85939">
      <w:pPr>
        <w:spacing w:line="50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1.本招标书为免费提供，但获取者必须保密，未经招标单位同意，纸质件、电子件不得泄露给第三方。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2</w:t>
      </w:r>
      <w:r w:rsidRPr="000C4BCF">
        <w:rPr>
          <w:rFonts w:ascii="仿宋_GB2312" w:eastAsia="仿宋_GB2312" w:hint="eastAsia"/>
          <w:sz w:val="32"/>
          <w:szCs w:val="32"/>
        </w:rPr>
        <w:t>.</w:t>
      </w:r>
      <w:r w:rsidRPr="000C4BCF">
        <w:rPr>
          <w:rFonts w:ascii="仿宋_GB2312" w:eastAsia="仿宋_GB2312" w:hAnsi="宋体" w:hint="eastAsia"/>
          <w:sz w:val="32"/>
          <w:szCs w:val="32"/>
        </w:rPr>
        <w:t>投标单位承担编制投标文件及递交投标文件所涉及的全部费用。</w:t>
      </w:r>
    </w:p>
    <w:p w:rsidR="004B5F5A" w:rsidRPr="000C4BCF" w:rsidRDefault="0028097D">
      <w:pPr>
        <w:spacing w:line="5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八</w:t>
      </w:r>
      <w:r w:rsidR="00D85939" w:rsidRPr="000C4BCF">
        <w:rPr>
          <w:rFonts w:ascii="仿宋_GB2312" w:eastAsia="仿宋_GB2312" w:hAnsi="宋体" w:hint="eastAsia"/>
          <w:b/>
          <w:sz w:val="32"/>
          <w:szCs w:val="32"/>
        </w:rPr>
        <w:t>、投标文件的无效范围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1</w:t>
      </w:r>
      <w:r w:rsidRPr="000C4BCF">
        <w:rPr>
          <w:rFonts w:ascii="仿宋_GB2312" w:eastAsia="仿宋_GB2312" w:hint="eastAsia"/>
          <w:sz w:val="32"/>
          <w:szCs w:val="32"/>
        </w:rPr>
        <w:t>.</w:t>
      </w:r>
      <w:r w:rsidRPr="000C4BCF">
        <w:rPr>
          <w:rFonts w:ascii="仿宋_GB2312" w:eastAsia="仿宋_GB2312" w:hAnsi="宋体" w:hint="eastAsia"/>
          <w:sz w:val="32"/>
          <w:szCs w:val="32"/>
        </w:rPr>
        <w:t>未密封报送。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2</w:t>
      </w:r>
      <w:r w:rsidRPr="000C4BCF">
        <w:rPr>
          <w:rFonts w:ascii="仿宋_GB2312" w:eastAsia="仿宋_GB2312" w:hint="eastAsia"/>
          <w:sz w:val="32"/>
          <w:szCs w:val="32"/>
        </w:rPr>
        <w:t>.</w:t>
      </w:r>
      <w:r w:rsidRPr="000C4BCF">
        <w:rPr>
          <w:rFonts w:ascii="仿宋_GB2312" w:eastAsia="仿宋_GB2312" w:hAnsi="宋体" w:hint="eastAsia"/>
          <w:sz w:val="32"/>
          <w:szCs w:val="32"/>
        </w:rPr>
        <w:t>未盖投标单位公章和法定代表人或授权代表人的印鉴。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3</w:t>
      </w:r>
      <w:r w:rsidRPr="000C4BCF">
        <w:rPr>
          <w:rFonts w:ascii="仿宋_GB2312" w:eastAsia="仿宋_GB2312" w:hint="eastAsia"/>
          <w:sz w:val="32"/>
          <w:szCs w:val="32"/>
        </w:rPr>
        <w:t>.</w:t>
      </w:r>
      <w:r w:rsidRPr="000C4BCF">
        <w:rPr>
          <w:rFonts w:ascii="仿宋_GB2312" w:eastAsia="仿宋_GB2312" w:hAnsi="宋体" w:hint="eastAsia"/>
          <w:sz w:val="32"/>
          <w:szCs w:val="32"/>
        </w:rPr>
        <w:t>无投标承诺书。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4</w:t>
      </w:r>
      <w:r w:rsidRPr="000C4BCF">
        <w:rPr>
          <w:rFonts w:ascii="仿宋_GB2312" w:eastAsia="仿宋_GB2312" w:hint="eastAsia"/>
          <w:sz w:val="32"/>
          <w:szCs w:val="32"/>
        </w:rPr>
        <w:t>.</w:t>
      </w:r>
      <w:r w:rsidRPr="000C4BCF">
        <w:rPr>
          <w:rFonts w:ascii="仿宋_GB2312" w:eastAsia="仿宋_GB2312" w:hAnsi="宋体" w:hint="eastAsia"/>
          <w:sz w:val="32"/>
          <w:szCs w:val="32"/>
        </w:rPr>
        <w:t>内容不全面或表达不清晰。</w:t>
      </w:r>
    </w:p>
    <w:p w:rsidR="004B5F5A" w:rsidRPr="000C4BCF" w:rsidRDefault="0028097D">
      <w:pPr>
        <w:spacing w:line="5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九</w:t>
      </w:r>
      <w:r w:rsidR="00D85939" w:rsidRPr="000C4BCF">
        <w:rPr>
          <w:rFonts w:ascii="仿宋_GB2312" w:eastAsia="仿宋_GB2312" w:hAnsi="宋体" w:hint="eastAsia"/>
          <w:b/>
          <w:sz w:val="32"/>
          <w:szCs w:val="32"/>
        </w:rPr>
        <w:t>、评标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1.由招标单位组织评标小组对标书进行议标、评估，投标单位不参与现场评标。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2.“价格优惠，制作精良，性价比高”是本次招标的基本原则。招标单位根据评审意见，结合方案的各因素进行综合评估，性价比高者为中标单位。</w:t>
      </w:r>
    </w:p>
    <w:p w:rsidR="004B5F5A" w:rsidRPr="000C4BCF" w:rsidRDefault="0028097D">
      <w:pPr>
        <w:spacing w:line="5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十</w:t>
      </w:r>
      <w:r w:rsidR="00D85939" w:rsidRPr="000C4BCF">
        <w:rPr>
          <w:rFonts w:ascii="仿宋_GB2312" w:eastAsia="仿宋_GB2312" w:hAnsi="宋体" w:hint="eastAsia"/>
          <w:b/>
          <w:sz w:val="32"/>
          <w:szCs w:val="32"/>
        </w:rPr>
        <w:t>、合同</w:t>
      </w:r>
    </w:p>
    <w:p w:rsidR="004B5F5A" w:rsidRPr="000C4BCF" w:rsidRDefault="00D8593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Ansi="宋体" w:hint="eastAsia"/>
          <w:sz w:val="32"/>
          <w:szCs w:val="32"/>
        </w:rPr>
        <w:t>中标单位与招标单位深化方案，协商一致后，双方签订合作合同，最终确定为中标单位。</w:t>
      </w:r>
    </w:p>
    <w:p w:rsidR="004B5F5A" w:rsidRPr="000C4BCF" w:rsidRDefault="00D85939">
      <w:pPr>
        <w:spacing w:line="50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0C4BCF">
        <w:rPr>
          <w:rFonts w:ascii="仿宋_GB2312" w:eastAsia="仿宋_GB2312" w:hAnsi="宋体" w:hint="eastAsia"/>
          <w:b/>
          <w:sz w:val="32"/>
          <w:szCs w:val="32"/>
        </w:rPr>
        <w:t>十</w:t>
      </w:r>
      <w:r w:rsidR="0028097D">
        <w:rPr>
          <w:rFonts w:ascii="仿宋_GB2312" w:eastAsia="仿宋_GB2312" w:hAnsi="宋体" w:hint="eastAsia"/>
          <w:b/>
          <w:sz w:val="32"/>
          <w:szCs w:val="32"/>
        </w:rPr>
        <w:t>一</w:t>
      </w:r>
      <w:r w:rsidRPr="000C4BCF">
        <w:rPr>
          <w:rFonts w:ascii="仿宋_GB2312" w:eastAsia="仿宋_GB2312" w:hAnsi="宋体" w:hint="eastAsia"/>
          <w:b/>
          <w:sz w:val="32"/>
          <w:szCs w:val="32"/>
        </w:rPr>
        <w:t>、特别说明</w:t>
      </w:r>
    </w:p>
    <w:p w:rsidR="004B5F5A" w:rsidRPr="000C4BCF" w:rsidRDefault="0028097D">
      <w:pPr>
        <w:tabs>
          <w:tab w:val="left" w:pos="360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D85939" w:rsidRPr="000C4BCF">
        <w:rPr>
          <w:rFonts w:ascii="仿宋_GB2312" w:eastAsia="仿宋_GB2312" w:hAnsi="宋体" w:hint="eastAsia"/>
          <w:sz w:val="32"/>
          <w:szCs w:val="32"/>
        </w:rPr>
        <w:t>投标单位应对招标单位提供的相关信息资料，包括但不限于：商业信息、公司信息、产品信息负有保密责任，未经招标单位书面同意，不得以任何形式泄露给任何第三方。招标单位亦承诺，</w:t>
      </w:r>
      <w:r w:rsidR="00D85939" w:rsidRPr="000C4BCF">
        <w:rPr>
          <w:rFonts w:ascii="仿宋_GB2312" w:eastAsia="仿宋_GB2312" w:hAnsi="宋体" w:hint="eastAsia"/>
          <w:sz w:val="32"/>
          <w:szCs w:val="32"/>
        </w:rPr>
        <w:lastRenderedPageBreak/>
        <w:t>未经投标单位书面同意，不得以任何形式将投标单位的方案及报价等信息泄露给任何第三方。</w:t>
      </w:r>
    </w:p>
    <w:p w:rsidR="004B5F5A" w:rsidRPr="000C4BCF" w:rsidRDefault="0028097D">
      <w:pPr>
        <w:tabs>
          <w:tab w:val="left" w:pos="360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D85939" w:rsidRPr="000C4BCF">
        <w:rPr>
          <w:rFonts w:ascii="仿宋_GB2312" w:eastAsia="仿宋_GB2312" w:hAnsi="宋体" w:hint="eastAsia"/>
          <w:sz w:val="32"/>
          <w:szCs w:val="32"/>
        </w:rPr>
        <w:t>本次招投标本着公开、公平、公正的原则进行。如发生纠纷，将在项目所在地按我国现行的法律、法规通过协商或诉讼程序解决。中国现行的法律、法规没有明确规定的，则参照惯例由双方协商解决。</w:t>
      </w:r>
    </w:p>
    <w:p w:rsidR="004B5F5A" w:rsidRDefault="004B5F5A" w:rsidP="0028097D">
      <w:pPr>
        <w:tabs>
          <w:tab w:val="left" w:pos="360"/>
        </w:tabs>
        <w:autoSpaceDE w:val="0"/>
        <w:autoSpaceDN w:val="0"/>
        <w:adjustRightInd w:val="0"/>
        <w:spacing w:line="500" w:lineRule="exact"/>
        <w:rPr>
          <w:rFonts w:ascii="仿宋_GB2312" w:eastAsia="仿宋_GB2312"/>
          <w:sz w:val="32"/>
          <w:szCs w:val="32"/>
        </w:rPr>
      </w:pPr>
    </w:p>
    <w:p w:rsidR="004B5F5A" w:rsidRDefault="004B5F5A">
      <w:pPr>
        <w:tabs>
          <w:tab w:val="left" w:pos="360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8097D" w:rsidRPr="000C4BCF" w:rsidRDefault="0028097D">
      <w:pPr>
        <w:tabs>
          <w:tab w:val="left" w:pos="360"/>
        </w:tabs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B5F5A" w:rsidRPr="000C4BCF" w:rsidRDefault="00D85939">
      <w:pPr>
        <w:spacing w:line="50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int="eastAsia"/>
          <w:sz w:val="32"/>
          <w:szCs w:val="32"/>
        </w:rPr>
        <w:t>广州市番禺莲花山旅游区</w:t>
      </w:r>
    </w:p>
    <w:p w:rsidR="004B5F5A" w:rsidRPr="000C4BCF" w:rsidRDefault="00D85939" w:rsidP="00A96578">
      <w:pPr>
        <w:spacing w:line="500" w:lineRule="exact"/>
        <w:rPr>
          <w:rFonts w:ascii="仿宋_GB2312" w:eastAsia="仿宋_GB2312"/>
          <w:sz w:val="32"/>
          <w:szCs w:val="32"/>
        </w:rPr>
      </w:pPr>
      <w:r w:rsidRPr="000C4BCF"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28097D">
        <w:rPr>
          <w:rFonts w:ascii="仿宋_GB2312" w:eastAsia="仿宋_GB2312" w:hint="eastAsia"/>
          <w:sz w:val="32"/>
          <w:szCs w:val="32"/>
        </w:rPr>
        <w:t>2020</w:t>
      </w:r>
      <w:r w:rsidRPr="000C4BCF">
        <w:rPr>
          <w:rFonts w:ascii="仿宋_GB2312" w:eastAsia="仿宋_GB2312" w:hint="eastAsia"/>
          <w:sz w:val="32"/>
          <w:szCs w:val="32"/>
        </w:rPr>
        <w:t>年</w:t>
      </w:r>
      <w:r w:rsidR="006B144E">
        <w:rPr>
          <w:rFonts w:ascii="仿宋_GB2312" w:eastAsia="仿宋_GB2312" w:hint="eastAsia"/>
          <w:sz w:val="32"/>
          <w:szCs w:val="32"/>
        </w:rPr>
        <w:t>10</w:t>
      </w:r>
      <w:r w:rsidRPr="000C4BCF">
        <w:rPr>
          <w:rFonts w:ascii="仿宋_GB2312" w:eastAsia="仿宋_GB2312" w:hint="eastAsia"/>
          <w:sz w:val="32"/>
          <w:szCs w:val="32"/>
        </w:rPr>
        <w:t>月</w:t>
      </w:r>
      <w:r w:rsidR="006B144E">
        <w:rPr>
          <w:rFonts w:ascii="仿宋_GB2312" w:eastAsia="仿宋_GB2312" w:hint="eastAsia"/>
          <w:sz w:val="32"/>
          <w:szCs w:val="32"/>
        </w:rPr>
        <w:t>9</w:t>
      </w:r>
      <w:r w:rsidRPr="000C4BCF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4B5F5A" w:rsidRPr="000C4BCF" w:rsidSect="004B5F5A">
      <w:footerReference w:type="default" r:id="rId8"/>
      <w:pgSz w:w="11906" w:h="16838"/>
      <w:pgMar w:top="1021" w:right="1304" w:bottom="102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994" w:rsidRDefault="003B3994" w:rsidP="004B5F5A">
      <w:r>
        <w:separator/>
      </w:r>
    </w:p>
  </w:endnote>
  <w:endnote w:type="continuationSeparator" w:id="1">
    <w:p w:rsidR="003B3994" w:rsidRDefault="003B3994" w:rsidP="004B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5A" w:rsidRDefault="00FC3523">
    <w:pPr>
      <w:pStyle w:val="a4"/>
      <w:jc w:val="center"/>
    </w:pPr>
    <w:r>
      <w:rPr>
        <w:b/>
      </w:rPr>
      <w:fldChar w:fldCharType="begin"/>
    </w:r>
    <w:r w:rsidR="00D85939">
      <w:rPr>
        <w:b/>
      </w:rPr>
      <w:instrText>PAGE</w:instrText>
    </w:r>
    <w:r>
      <w:rPr>
        <w:b/>
      </w:rPr>
      <w:fldChar w:fldCharType="separate"/>
    </w:r>
    <w:r w:rsidR="00AC12AE">
      <w:rPr>
        <w:b/>
        <w:noProof/>
      </w:rPr>
      <w:t>3</w:t>
    </w:r>
    <w:r>
      <w:rPr>
        <w:b/>
      </w:rPr>
      <w:fldChar w:fldCharType="end"/>
    </w:r>
    <w:r w:rsidR="00D85939">
      <w:rPr>
        <w:lang w:val="zh-CN"/>
      </w:rPr>
      <w:t xml:space="preserve"> / </w:t>
    </w:r>
    <w:r>
      <w:rPr>
        <w:b/>
      </w:rPr>
      <w:fldChar w:fldCharType="begin"/>
    </w:r>
    <w:r w:rsidR="00D85939">
      <w:rPr>
        <w:b/>
      </w:rPr>
      <w:instrText>NUMPAGES</w:instrText>
    </w:r>
    <w:r>
      <w:rPr>
        <w:b/>
      </w:rPr>
      <w:fldChar w:fldCharType="separate"/>
    </w:r>
    <w:r w:rsidR="00AC12AE">
      <w:rPr>
        <w:b/>
        <w:noProof/>
      </w:rPr>
      <w:t>5</w:t>
    </w:r>
    <w:r>
      <w:rPr>
        <w:b/>
      </w:rPr>
      <w:fldChar w:fldCharType="end"/>
    </w:r>
  </w:p>
  <w:p w:rsidR="004B5F5A" w:rsidRDefault="004B5F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994" w:rsidRDefault="003B3994" w:rsidP="004B5F5A">
      <w:r>
        <w:separator/>
      </w:r>
    </w:p>
  </w:footnote>
  <w:footnote w:type="continuationSeparator" w:id="1">
    <w:p w:rsidR="003B3994" w:rsidRDefault="003B3994" w:rsidP="004B5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5F3F"/>
    <w:multiLevelType w:val="singleLevel"/>
    <w:tmpl w:val="08405F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D31F2C"/>
    <w:multiLevelType w:val="multilevel"/>
    <w:tmpl w:val="61D31F2C"/>
    <w:lvl w:ilvl="0">
      <w:start w:val="1"/>
      <w:numFmt w:val="japaneseCounting"/>
      <w:lvlText w:val="%1、"/>
      <w:lvlJc w:val="left"/>
      <w:pPr>
        <w:ind w:left="1290" w:hanging="72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B50"/>
    <w:rsid w:val="000005DC"/>
    <w:rsid w:val="000030FE"/>
    <w:rsid w:val="00003210"/>
    <w:rsid w:val="00007838"/>
    <w:rsid w:val="00013917"/>
    <w:rsid w:val="000152AC"/>
    <w:rsid w:val="000234E9"/>
    <w:rsid w:val="00031DA4"/>
    <w:rsid w:val="0003556A"/>
    <w:rsid w:val="000358F9"/>
    <w:rsid w:val="000411D8"/>
    <w:rsid w:val="0004352D"/>
    <w:rsid w:val="00056157"/>
    <w:rsid w:val="00057A39"/>
    <w:rsid w:val="000B06EA"/>
    <w:rsid w:val="000B3E9D"/>
    <w:rsid w:val="000C4BCF"/>
    <w:rsid w:val="000C51B9"/>
    <w:rsid w:val="000E543F"/>
    <w:rsid w:val="000F3562"/>
    <w:rsid w:val="0010316E"/>
    <w:rsid w:val="00107A37"/>
    <w:rsid w:val="00117A0C"/>
    <w:rsid w:val="00121AB0"/>
    <w:rsid w:val="0012209F"/>
    <w:rsid w:val="001360A4"/>
    <w:rsid w:val="001400A7"/>
    <w:rsid w:val="00140DFB"/>
    <w:rsid w:val="00150AEB"/>
    <w:rsid w:val="001541F7"/>
    <w:rsid w:val="00171CDD"/>
    <w:rsid w:val="0018541E"/>
    <w:rsid w:val="001860E3"/>
    <w:rsid w:val="00186EC1"/>
    <w:rsid w:val="0019142D"/>
    <w:rsid w:val="001957C9"/>
    <w:rsid w:val="001960A5"/>
    <w:rsid w:val="001A31FA"/>
    <w:rsid w:val="001A6D19"/>
    <w:rsid w:val="001B7734"/>
    <w:rsid w:val="001C0AD5"/>
    <w:rsid w:val="001C122B"/>
    <w:rsid w:val="001C4CD2"/>
    <w:rsid w:val="001C522B"/>
    <w:rsid w:val="001D14BA"/>
    <w:rsid w:val="001D1756"/>
    <w:rsid w:val="001E328A"/>
    <w:rsid w:val="001E3B9E"/>
    <w:rsid w:val="001E4D5C"/>
    <w:rsid w:val="001E54F5"/>
    <w:rsid w:val="001E5C0C"/>
    <w:rsid w:val="001E623A"/>
    <w:rsid w:val="001F2803"/>
    <w:rsid w:val="001F4C47"/>
    <w:rsid w:val="00201A8C"/>
    <w:rsid w:val="00205B44"/>
    <w:rsid w:val="00207FB1"/>
    <w:rsid w:val="00214129"/>
    <w:rsid w:val="002304F6"/>
    <w:rsid w:val="002314D9"/>
    <w:rsid w:val="002344BE"/>
    <w:rsid w:val="00241DCC"/>
    <w:rsid w:val="00242F9E"/>
    <w:rsid w:val="00254A4C"/>
    <w:rsid w:val="00267651"/>
    <w:rsid w:val="002712D8"/>
    <w:rsid w:val="00275855"/>
    <w:rsid w:val="0028097D"/>
    <w:rsid w:val="00290942"/>
    <w:rsid w:val="00292F01"/>
    <w:rsid w:val="0029354E"/>
    <w:rsid w:val="002A5882"/>
    <w:rsid w:val="002A6BFB"/>
    <w:rsid w:val="002B04E7"/>
    <w:rsid w:val="002B0976"/>
    <w:rsid w:val="002B79B2"/>
    <w:rsid w:val="002D31E8"/>
    <w:rsid w:val="002D46C2"/>
    <w:rsid w:val="002D538B"/>
    <w:rsid w:val="002E3718"/>
    <w:rsid w:val="002F0E99"/>
    <w:rsid w:val="002F5561"/>
    <w:rsid w:val="00303FB4"/>
    <w:rsid w:val="00307C77"/>
    <w:rsid w:val="0031755E"/>
    <w:rsid w:val="00326875"/>
    <w:rsid w:val="003432B9"/>
    <w:rsid w:val="0034718C"/>
    <w:rsid w:val="00370B0A"/>
    <w:rsid w:val="00371C8B"/>
    <w:rsid w:val="00380D63"/>
    <w:rsid w:val="00382EDB"/>
    <w:rsid w:val="00385502"/>
    <w:rsid w:val="00390569"/>
    <w:rsid w:val="00393552"/>
    <w:rsid w:val="00393FAC"/>
    <w:rsid w:val="003A030B"/>
    <w:rsid w:val="003A4B6D"/>
    <w:rsid w:val="003B1857"/>
    <w:rsid w:val="003B3994"/>
    <w:rsid w:val="003C3735"/>
    <w:rsid w:val="003C3CEC"/>
    <w:rsid w:val="003C48B8"/>
    <w:rsid w:val="003C623A"/>
    <w:rsid w:val="003E1860"/>
    <w:rsid w:val="003E43D8"/>
    <w:rsid w:val="00410712"/>
    <w:rsid w:val="00411659"/>
    <w:rsid w:val="00411F49"/>
    <w:rsid w:val="004206D5"/>
    <w:rsid w:val="004314B5"/>
    <w:rsid w:val="00433AA4"/>
    <w:rsid w:val="00433F9E"/>
    <w:rsid w:val="00435A2E"/>
    <w:rsid w:val="00443496"/>
    <w:rsid w:val="0044438F"/>
    <w:rsid w:val="00446E82"/>
    <w:rsid w:val="00450912"/>
    <w:rsid w:val="0045681B"/>
    <w:rsid w:val="00466615"/>
    <w:rsid w:val="004748B4"/>
    <w:rsid w:val="004931F1"/>
    <w:rsid w:val="004944C8"/>
    <w:rsid w:val="004B3B1D"/>
    <w:rsid w:val="004B5CD8"/>
    <w:rsid w:val="004B5F5A"/>
    <w:rsid w:val="004B7D94"/>
    <w:rsid w:val="004C0499"/>
    <w:rsid w:val="004C1778"/>
    <w:rsid w:val="004C57FB"/>
    <w:rsid w:val="004C69A6"/>
    <w:rsid w:val="004D3305"/>
    <w:rsid w:val="004D3DD2"/>
    <w:rsid w:val="004E14A9"/>
    <w:rsid w:val="004F5EF9"/>
    <w:rsid w:val="00500E97"/>
    <w:rsid w:val="00507FB7"/>
    <w:rsid w:val="005167A1"/>
    <w:rsid w:val="0052533A"/>
    <w:rsid w:val="005305D0"/>
    <w:rsid w:val="005354E8"/>
    <w:rsid w:val="0053566D"/>
    <w:rsid w:val="0055283A"/>
    <w:rsid w:val="00560266"/>
    <w:rsid w:val="00564A90"/>
    <w:rsid w:val="00566B4B"/>
    <w:rsid w:val="00570472"/>
    <w:rsid w:val="0057487B"/>
    <w:rsid w:val="005777A3"/>
    <w:rsid w:val="00597B75"/>
    <w:rsid w:val="005B16BA"/>
    <w:rsid w:val="005B72A6"/>
    <w:rsid w:val="005B7AB2"/>
    <w:rsid w:val="005D10C5"/>
    <w:rsid w:val="005D35A0"/>
    <w:rsid w:val="005F7E1B"/>
    <w:rsid w:val="00604A22"/>
    <w:rsid w:val="00610F52"/>
    <w:rsid w:val="006232EA"/>
    <w:rsid w:val="0063003B"/>
    <w:rsid w:val="00630FAD"/>
    <w:rsid w:val="00633D6C"/>
    <w:rsid w:val="006358D7"/>
    <w:rsid w:val="00646ACC"/>
    <w:rsid w:val="00647C22"/>
    <w:rsid w:val="00672899"/>
    <w:rsid w:val="00692BBD"/>
    <w:rsid w:val="00695FD0"/>
    <w:rsid w:val="006A017A"/>
    <w:rsid w:val="006A2BCD"/>
    <w:rsid w:val="006B144E"/>
    <w:rsid w:val="006B1F3E"/>
    <w:rsid w:val="006C16E6"/>
    <w:rsid w:val="006C51AF"/>
    <w:rsid w:val="006D2004"/>
    <w:rsid w:val="006D43FF"/>
    <w:rsid w:val="006D5F83"/>
    <w:rsid w:val="006E392A"/>
    <w:rsid w:val="006E40B6"/>
    <w:rsid w:val="006F2F25"/>
    <w:rsid w:val="007003C8"/>
    <w:rsid w:val="00703848"/>
    <w:rsid w:val="00721E41"/>
    <w:rsid w:val="00723E30"/>
    <w:rsid w:val="0074431C"/>
    <w:rsid w:val="00752691"/>
    <w:rsid w:val="0076721E"/>
    <w:rsid w:val="00767E15"/>
    <w:rsid w:val="007766DE"/>
    <w:rsid w:val="0078531C"/>
    <w:rsid w:val="007A7F55"/>
    <w:rsid w:val="007B5F74"/>
    <w:rsid w:val="007C6578"/>
    <w:rsid w:val="007E0FFC"/>
    <w:rsid w:val="007F2BBB"/>
    <w:rsid w:val="007F4731"/>
    <w:rsid w:val="007F65AB"/>
    <w:rsid w:val="00810975"/>
    <w:rsid w:val="0082795D"/>
    <w:rsid w:val="008305C8"/>
    <w:rsid w:val="00843817"/>
    <w:rsid w:val="0084474F"/>
    <w:rsid w:val="00846717"/>
    <w:rsid w:val="00865968"/>
    <w:rsid w:val="00871D5B"/>
    <w:rsid w:val="00875A1F"/>
    <w:rsid w:val="00876A4B"/>
    <w:rsid w:val="00881FB3"/>
    <w:rsid w:val="008838D1"/>
    <w:rsid w:val="008855D7"/>
    <w:rsid w:val="00896672"/>
    <w:rsid w:val="008A7A16"/>
    <w:rsid w:val="008B0E06"/>
    <w:rsid w:val="008C50DA"/>
    <w:rsid w:val="008D6279"/>
    <w:rsid w:val="008E0032"/>
    <w:rsid w:val="0090420E"/>
    <w:rsid w:val="009051F3"/>
    <w:rsid w:val="0091298A"/>
    <w:rsid w:val="00914C9A"/>
    <w:rsid w:val="00915231"/>
    <w:rsid w:val="0092010A"/>
    <w:rsid w:val="009215D0"/>
    <w:rsid w:val="009235F5"/>
    <w:rsid w:val="00926DA9"/>
    <w:rsid w:val="00930D4A"/>
    <w:rsid w:val="009366D9"/>
    <w:rsid w:val="009552DD"/>
    <w:rsid w:val="00955F71"/>
    <w:rsid w:val="009603EE"/>
    <w:rsid w:val="0096106F"/>
    <w:rsid w:val="00985EB7"/>
    <w:rsid w:val="00985FA6"/>
    <w:rsid w:val="009A2ED8"/>
    <w:rsid w:val="009B0A3C"/>
    <w:rsid w:val="009B1820"/>
    <w:rsid w:val="009B24CA"/>
    <w:rsid w:val="009B77D6"/>
    <w:rsid w:val="009C3E83"/>
    <w:rsid w:val="009D435D"/>
    <w:rsid w:val="009D4B65"/>
    <w:rsid w:val="009E741D"/>
    <w:rsid w:val="009F5D6F"/>
    <w:rsid w:val="00A02750"/>
    <w:rsid w:val="00A04535"/>
    <w:rsid w:val="00A04B50"/>
    <w:rsid w:val="00A10910"/>
    <w:rsid w:val="00A258B4"/>
    <w:rsid w:val="00A30ACA"/>
    <w:rsid w:val="00A31A39"/>
    <w:rsid w:val="00A32C49"/>
    <w:rsid w:val="00A436BC"/>
    <w:rsid w:val="00A46BDB"/>
    <w:rsid w:val="00A51CEC"/>
    <w:rsid w:val="00A5323B"/>
    <w:rsid w:val="00A66F6F"/>
    <w:rsid w:val="00A7424C"/>
    <w:rsid w:val="00A7692C"/>
    <w:rsid w:val="00A801E8"/>
    <w:rsid w:val="00A81AC7"/>
    <w:rsid w:val="00A83C95"/>
    <w:rsid w:val="00A8724C"/>
    <w:rsid w:val="00A907EE"/>
    <w:rsid w:val="00A91FAE"/>
    <w:rsid w:val="00A96578"/>
    <w:rsid w:val="00AB4C39"/>
    <w:rsid w:val="00AB5E27"/>
    <w:rsid w:val="00AC06E2"/>
    <w:rsid w:val="00AC12AE"/>
    <w:rsid w:val="00AC4E98"/>
    <w:rsid w:val="00AE173C"/>
    <w:rsid w:val="00AE3EE1"/>
    <w:rsid w:val="00AF0CBA"/>
    <w:rsid w:val="00AF27FE"/>
    <w:rsid w:val="00B00285"/>
    <w:rsid w:val="00B0046B"/>
    <w:rsid w:val="00B00BCA"/>
    <w:rsid w:val="00B01F2E"/>
    <w:rsid w:val="00B04BC7"/>
    <w:rsid w:val="00B33AC0"/>
    <w:rsid w:val="00B358F2"/>
    <w:rsid w:val="00B469BF"/>
    <w:rsid w:val="00B53F10"/>
    <w:rsid w:val="00B5483B"/>
    <w:rsid w:val="00B70F29"/>
    <w:rsid w:val="00B77E5B"/>
    <w:rsid w:val="00B85199"/>
    <w:rsid w:val="00B86B4F"/>
    <w:rsid w:val="00BA0D24"/>
    <w:rsid w:val="00BA319B"/>
    <w:rsid w:val="00BB0CA0"/>
    <w:rsid w:val="00BD063C"/>
    <w:rsid w:val="00BD1516"/>
    <w:rsid w:val="00BD6EDB"/>
    <w:rsid w:val="00BE1496"/>
    <w:rsid w:val="00BE23A6"/>
    <w:rsid w:val="00BE309C"/>
    <w:rsid w:val="00BE57D5"/>
    <w:rsid w:val="00BE5F2C"/>
    <w:rsid w:val="00BF4687"/>
    <w:rsid w:val="00BF5C2C"/>
    <w:rsid w:val="00C14CC5"/>
    <w:rsid w:val="00C15492"/>
    <w:rsid w:val="00C263B4"/>
    <w:rsid w:val="00C47015"/>
    <w:rsid w:val="00C6698E"/>
    <w:rsid w:val="00C70299"/>
    <w:rsid w:val="00C70BAC"/>
    <w:rsid w:val="00C77918"/>
    <w:rsid w:val="00C77FBF"/>
    <w:rsid w:val="00C92AA4"/>
    <w:rsid w:val="00C92C09"/>
    <w:rsid w:val="00C93BD7"/>
    <w:rsid w:val="00C95F81"/>
    <w:rsid w:val="00CC495D"/>
    <w:rsid w:val="00CD6E99"/>
    <w:rsid w:val="00CE0809"/>
    <w:rsid w:val="00D0182D"/>
    <w:rsid w:val="00D0203F"/>
    <w:rsid w:val="00D0701B"/>
    <w:rsid w:val="00D13605"/>
    <w:rsid w:val="00D15228"/>
    <w:rsid w:val="00D24390"/>
    <w:rsid w:val="00D376CA"/>
    <w:rsid w:val="00D442A9"/>
    <w:rsid w:val="00D47672"/>
    <w:rsid w:val="00D509DB"/>
    <w:rsid w:val="00D5127A"/>
    <w:rsid w:val="00D52E3C"/>
    <w:rsid w:val="00D6611F"/>
    <w:rsid w:val="00D85939"/>
    <w:rsid w:val="00D8638E"/>
    <w:rsid w:val="00D90E21"/>
    <w:rsid w:val="00D91C08"/>
    <w:rsid w:val="00D924D4"/>
    <w:rsid w:val="00D942E5"/>
    <w:rsid w:val="00D965D3"/>
    <w:rsid w:val="00DB3E9B"/>
    <w:rsid w:val="00DB7AD5"/>
    <w:rsid w:val="00DD31CD"/>
    <w:rsid w:val="00DD475A"/>
    <w:rsid w:val="00DD6226"/>
    <w:rsid w:val="00DE759C"/>
    <w:rsid w:val="00DE7FDB"/>
    <w:rsid w:val="00DF36F4"/>
    <w:rsid w:val="00E042B3"/>
    <w:rsid w:val="00E2310B"/>
    <w:rsid w:val="00E42DEA"/>
    <w:rsid w:val="00E56ED3"/>
    <w:rsid w:val="00E57505"/>
    <w:rsid w:val="00E614DC"/>
    <w:rsid w:val="00E62C88"/>
    <w:rsid w:val="00E86392"/>
    <w:rsid w:val="00E93816"/>
    <w:rsid w:val="00EA50DA"/>
    <w:rsid w:val="00EA67ED"/>
    <w:rsid w:val="00EB3927"/>
    <w:rsid w:val="00ED7CB7"/>
    <w:rsid w:val="00F03ACF"/>
    <w:rsid w:val="00F0471A"/>
    <w:rsid w:val="00F05690"/>
    <w:rsid w:val="00F33949"/>
    <w:rsid w:val="00F43813"/>
    <w:rsid w:val="00F45F39"/>
    <w:rsid w:val="00F51210"/>
    <w:rsid w:val="00F62A1A"/>
    <w:rsid w:val="00F66041"/>
    <w:rsid w:val="00F72B78"/>
    <w:rsid w:val="00F744AD"/>
    <w:rsid w:val="00F82E5B"/>
    <w:rsid w:val="00F90A7D"/>
    <w:rsid w:val="00F92216"/>
    <w:rsid w:val="00F93035"/>
    <w:rsid w:val="00F95FBF"/>
    <w:rsid w:val="00F9763A"/>
    <w:rsid w:val="00FB5FB5"/>
    <w:rsid w:val="00FC01C5"/>
    <w:rsid w:val="00FC3523"/>
    <w:rsid w:val="00FC47F9"/>
    <w:rsid w:val="00FC5069"/>
    <w:rsid w:val="00FC550B"/>
    <w:rsid w:val="00FD1972"/>
    <w:rsid w:val="00FD7E37"/>
    <w:rsid w:val="00FE5B2B"/>
    <w:rsid w:val="00FE74C6"/>
    <w:rsid w:val="00FE783D"/>
    <w:rsid w:val="00FF1A88"/>
    <w:rsid w:val="00FF792E"/>
    <w:rsid w:val="06AE3E49"/>
    <w:rsid w:val="078D3833"/>
    <w:rsid w:val="0C0D2C2E"/>
    <w:rsid w:val="0C404A87"/>
    <w:rsid w:val="0E17593A"/>
    <w:rsid w:val="170A18E8"/>
    <w:rsid w:val="1FAD2FEA"/>
    <w:rsid w:val="20D53524"/>
    <w:rsid w:val="28F83CAE"/>
    <w:rsid w:val="2E2067B0"/>
    <w:rsid w:val="35FF26F1"/>
    <w:rsid w:val="46184A37"/>
    <w:rsid w:val="475C69F4"/>
    <w:rsid w:val="48AB012F"/>
    <w:rsid w:val="4FA24E7A"/>
    <w:rsid w:val="525D5584"/>
    <w:rsid w:val="55F17AE5"/>
    <w:rsid w:val="57587AEB"/>
    <w:rsid w:val="59174285"/>
    <w:rsid w:val="5B4F1538"/>
    <w:rsid w:val="5CAF36B2"/>
    <w:rsid w:val="5E240616"/>
    <w:rsid w:val="61702B50"/>
    <w:rsid w:val="66AD6116"/>
    <w:rsid w:val="680C2FF1"/>
    <w:rsid w:val="7A67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4B5F5A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4B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4B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4B5F5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4B5F5A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4B5F5A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4B5F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278</Words>
  <Characters>1591</Characters>
  <Application>Microsoft Office Word</Application>
  <DocSecurity>0</DocSecurity>
  <Lines>13</Lines>
  <Paragraphs>3</Paragraphs>
  <ScaleCrop>false</ScaleCrop>
  <Company>WwW.YlmF.CoM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yao</cp:lastModifiedBy>
  <cp:revision>158</cp:revision>
  <cp:lastPrinted>2020-10-09T06:25:00Z</cp:lastPrinted>
  <dcterms:created xsi:type="dcterms:W3CDTF">2013-11-11T02:17:00Z</dcterms:created>
  <dcterms:modified xsi:type="dcterms:W3CDTF">2020-10-10T06:02:00Z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